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П/п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Форелевая,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Часы работы: 8:00 до 17:00 часов, перерыв с 12:00 до 13:00 часов, в предпраздничные дни - с 8:00 до 16:00, перерыв с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CF7866">
              <w:rPr>
                <w:rFonts w:ascii="Times New Roman" w:hAnsi="Times New Roman" w:cs="Times New Roman"/>
                <w:color w:val="365F91" w:themeColor="accent1" w:themeShade="BF"/>
                <w:sz w:val="20"/>
                <w:szCs w:val="20"/>
              </w:rPr>
              <w:t>1</w:t>
            </w:r>
            <w:r w:rsidR="00B24D39">
              <w:rPr>
                <w:rFonts w:ascii="Times New Roman" w:hAnsi="Times New Roman" w:cs="Times New Roman"/>
                <w:color w:val="365F91" w:themeColor="accent1" w:themeShade="BF"/>
                <w:sz w:val="20"/>
                <w:szCs w:val="20"/>
              </w:rPr>
              <w:t>2</w:t>
            </w:r>
            <w:r w:rsidR="00C61F5A">
              <w:rPr>
                <w:rFonts w:ascii="Times New Roman" w:hAnsi="Times New Roman" w:cs="Times New Roman"/>
                <w:color w:val="365F91" w:themeColor="accent1" w:themeShade="BF"/>
                <w:sz w:val="20"/>
                <w:szCs w:val="20"/>
              </w:rPr>
              <w:t>-22</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CF7866" w:rsidRPr="00CF7866">
              <w:rPr>
                <w:rFonts w:ascii="Times New Roman" w:eastAsia="Calibri" w:hAnsi="Times New Roman" w:cs="Times New Roman"/>
                <w:sz w:val="20"/>
                <w:szCs w:val="20"/>
                <w:lang w:eastAsia="en-US"/>
              </w:rPr>
              <w:t>Поставка вилочного дизельного автопогрузчика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 </w:t>
            </w:r>
            <w:r w:rsidR="00D2702E" w:rsidRPr="00222CBF">
              <w:rPr>
                <w:i/>
                <w:sz w:val="20"/>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222CBF" w:rsidRDefault="00B17217" w:rsidP="0036053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CF7866">
              <w:rPr>
                <w:rFonts w:ascii="Times New Roman" w:hAnsi="Times New Roman" w:cs="Times New Roman"/>
                <w:sz w:val="20"/>
                <w:szCs w:val="20"/>
              </w:rPr>
              <w:t>1 650 000,00</w:t>
            </w:r>
            <w:r w:rsidR="00B56EE0">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один миллион</w:t>
            </w:r>
            <w:r w:rsidR="00CF7866">
              <w:rPr>
                <w:rFonts w:ascii="Times New Roman" w:hAnsi="Times New Roman" w:cs="Times New Roman"/>
                <w:sz w:val="20"/>
                <w:szCs w:val="20"/>
              </w:rPr>
              <w:t xml:space="preserve"> шестьсот пятьдесят тысяч </w:t>
            </w:r>
            <w:r w:rsidR="00AF63DE">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рублей 00 копеек)</w:t>
            </w:r>
            <w:r w:rsidR="0008260B" w:rsidRPr="00222CBF">
              <w:rPr>
                <w:rFonts w:ascii="Times New Roman" w:hAnsi="Times New Roman" w:cs="Times New Roman"/>
                <w:sz w:val="20"/>
                <w:szCs w:val="20"/>
              </w:rPr>
              <w:t>, включая НДС (20%)</w:t>
            </w:r>
            <w:r w:rsidRPr="00222CBF">
              <w:rPr>
                <w:rFonts w:ascii="Times New Roman" w:hAnsi="Times New Roman" w:cs="Times New Roman"/>
                <w:sz w:val="20"/>
                <w:szCs w:val="20"/>
              </w:rPr>
              <w:t>;</w:t>
            </w:r>
          </w:p>
          <w:p w:rsidR="00340138" w:rsidRPr="00222CBF" w:rsidRDefault="00B17217" w:rsidP="00CF786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A52539" w:rsidRPr="00A52539">
              <w:rPr>
                <w:rFonts w:ascii="Times New Roman" w:hAnsi="Times New Roman" w:cs="Times New Roman"/>
                <w:sz w:val="20"/>
                <w:szCs w:val="20"/>
              </w:rPr>
              <w:t xml:space="preserve"> 1 </w:t>
            </w:r>
            <w:r w:rsidR="00CF7866">
              <w:rPr>
                <w:rFonts w:ascii="Times New Roman" w:hAnsi="Times New Roman" w:cs="Times New Roman"/>
                <w:sz w:val="20"/>
                <w:szCs w:val="20"/>
              </w:rPr>
              <w:t>375</w:t>
            </w:r>
            <w:r w:rsidR="00A52539" w:rsidRPr="00A52539">
              <w:rPr>
                <w:rFonts w:ascii="Times New Roman" w:hAnsi="Times New Roman" w:cs="Times New Roman"/>
                <w:sz w:val="20"/>
                <w:szCs w:val="20"/>
              </w:rPr>
              <w:t xml:space="preserve"> </w:t>
            </w:r>
            <w:r w:rsidR="00AF63DE">
              <w:rPr>
                <w:rFonts w:ascii="Times New Roman" w:hAnsi="Times New Roman" w:cs="Times New Roman"/>
                <w:sz w:val="20"/>
                <w:szCs w:val="20"/>
              </w:rPr>
              <w:t>0</w:t>
            </w:r>
            <w:r w:rsidR="00D557E6">
              <w:rPr>
                <w:rFonts w:ascii="Times New Roman" w:hAnsi="Times New Roman" w:cs="Times New Roman"/>
                <w:sz w:val="20"/>
                <w:szCs w:val="20"/>
              </w:rPr>
              <w:t>0</w:t>
            </w:r>
            <w:r w:rsidR="00A52539" w:rsidRPr="00A52539">
              <w:rPr>
                <w:rFonts w:ascii="Times New Roman" w:hAnsi="Times New Roman" w:cs="Times New Roman"/>
                <w:sz w:val="20"/>
                <w:szCs w:val="20"/>
              </w:rPr>
              <w:t xml:space="preserve">0,00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 xml:space="preserve">один миллион </w:t>
            </w:r>
            <w:r w:rsidR="00CF7866">
              <w:rPr>
                <w:rFonts w:ascii="Times New Roman" w:hAnsi="Times New Roman" w:cs="Times New Roman"/>
                <w:sz w:val="20"/>
                <w:szCs w:val="20"/>
              </w:rPr>
              <w:t xml:space="preserve">триста семьдесят пять тысяч </w:t>
            </w:r>
            <w:r w:rsidR="00222CBF" w:rsidRPr="00222CBF">
              <w:rPr>
                <w:rFonts w:ascii="Times New Roman" w:hAnsi="Times New Roman" w:cs="Times New Roman"/>
                <w:sz w:val="20"/>
                <w:szCs w:val="20"/>
              </w:rPr>
              <w:t>рублей 00 копеек)</w:t>
            </w:r>
            <w:r w:rsidR="00EB5BC2" w:rsidRPr="00222CBF">
              <w:rPr>
                <w:rFonts w:ascii="Times New Roman" w:hAnsi="Times New Roman" w:cs="Times New Roman"/>
                <w:sz w:val="20"/>
                <w:szCs w:val="20"/>
              </w:rPr>
              <w:t xml:space="preserve">, </w:t>
            </w:r>
            <w:r w:rsidR="002B5452" w:rsidRPr="00222CBF">
              <w:rPr>
                <w:rFonts w:ascii="Times New Roman" w:hAnsi="Times New Roman" w:cs="Times New Roman"/>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8"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CF7866" w:rsidRDefault="00BE641E" w:rsidP="00CF7866">
            <w:pPr>
              <w:shd w:val="clear" w:color="auto" w:fill="FFFFFF" w:themeFill="background1"/>
              <w:spacing w:after="0" w:line="240" w:lineRule="auto"/>
              <w:rPr>
                <w:rFonts w:ascii="Times New Roman" w:hAnsi="Times New Roman" w:cs="Times New Roman"/>
                <w:sz w:val="20"/>
                <w:szCs w:val="20"/>
              </w:rPr>
            </w:pPr>
            <w:r w:rsidRPr="008A1FAD">
              <w:rPr>
                <w:rFonts w:ascii="Times New Roman" w:eastAsia="Times New Roman" w:hAnsi="Times New Roman" w:cs="Times New Roman"/>
                <w:sz w:val="20"/>
                <w:szCs w:val="20"/>
              </w:rPr>
              <w:t>Например: «ЗАЯВКА НА УЧАСТИЕ,</w:t>
            </w:r>
            <w:r w:rsidR="00CF7866">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ЛОТ</w:t>
            </w:r>
            <w:r w:rsidRPr="008A1FAD">
              <w:rPr>
                <w:rFonts w:ascii="Times New Roman" w:eastAsia="Times New Roman" w:hAnsi="Times New Roman" w:cs="Times New Roman"/>
                <w:sz w:val="20"/>
                <w:szCs w:val="20"/>
              </w:rPr>
              <w:t xml:space="preserve"> №</w:t>
            </w:r>
            <w:r w:rsidR="00CF7866" w:rsidRPr="00222CBF">
              <w:rPr>
                <w:rFonts w:ascii="Times New Roman" w:hAnsi="Times New Roman" w:cs="Times New Roman"/>
                <w:sz w:val="20"/>
                <w:szCs w:val="20"/>
              </w:rPr>
              <w:t xml:space="preserve"> </w:t>
            </w:r>
            <w:r w:rsidR="00CF7866">
              <w:rPr>
                <w:rFonts w:ascii="Times New Roman" w:hAnsi="Times New Roman" w:cs="Times New Roman"/>
                <w:color w:val="365F91" w:themeColor="accent1" w:themeShade="BF"/>
                <w:sz w:val="20"/>
                <w:szCs w:val="20"/>
              </w:rPr>
              <w:t>1</w:t>
            </w:r>
            <w:r w:rsidR="00B24D39">
              <w:rPr>
                <w:rFonts w:ascii="Times New Roman" w:hAnsi="Times New Roman" w:cs="Times New Roman"/>
                <w:color w:val="365F91" w:themeColor="accent1" w:themeShade="BF"/>
                <w:sz w:val="20"/>
                <w:szCs w:val="20"/>
              </w:rPr>
              <w:t>2</w:t>
            </w:r>
            <w:r w:rsidR="00CF7866">
              <w:rPr>
                <w:rFonts w:ascii="Times New Roman" w:hAnsi="Times New Roman" w:cs="Times New Roman"/>
                <w:color w:val="365F91" w:themeColor="accent1" w:themeShade="BF"/>
                <w:sz w:val="20"/>
                <w:szCs w:val="20"/>
              </w:rPr>
              <w:t>-22</w:t>
            </w:r>
            <w:r w:rsidR="00CF7866" w:rsidRPr="00544C4E">
              <w:rPr>
                <w:rFonts w:ascii="Times New Roman" w:hAnsi="Times New Roman" w:cs="Times New Roman"/>
                <w:color w:val="365F91" w:themeColor="accent1" w:themeShade="BF"/>
                <w:sz w:val="20"/>
                <w:szCs w:val="20"/>
              </w:rPr>
              <w:t xml:space="preserve">-ЗК </w:t>
            </w:r>
            <w:r w:rsidR="00CF7866" w:rsidRPr="00222CBF">
              <w:rPr>
                <w:rFonts w:ascii="Times New Roman" w:hAnsi="Times New Roman" w:cs="Times New Roman"/>
                <w:sz w:val="20"/>
                <w:szCs w:val="20"/>
              </w:rPr>
              <w:t>Запрос котировок</w:t>
            </w:r>
            <w:r w:rsidR="00CF7866">
              <w:rPr>
                <w:rFonts w:ascii="Times New Roman" w:hAnsi="Times New Roman" w:cs="Times New Roman"/>
                <w:sz w:val="20"/>
                <w:szCs w:val="20"/>
              </w:rPr>
              <w:t xml:space="preserve"> </w:t>
            </w:r>
            <w:r w:rsidR="00CF7866" w:rsidRPr="00222CBF">
              <w:rPr>
                <w:rFonts w:ascii="Times New Roman" w:eastAsia="Calibri" w:hAnsi="Times New Roman" w:cs="Times New Roman"/>
                <w:sz w:val="20"/>
                <w:szCs w:val="20"/>
                <w:lang w:eastAsia="en-US"/>
              </w:rPr>
              <w:t>«</w:t>
            </w:r>
            <w:r w:rsidR="00CF7866" w:rsidRPr="00CF7866">
              <w:rPr>
                <w:rFonts w:ascii="Times New Roman" w:eastAsia="Calibri" w:hAnsi="Times New Roman" w:cs="Times New Roman"/>
                <w:color w:val="365F91" w:themeColor="accent1" w:themeShade="BF"/>
                <w:sz w:val="20"/>
                <w:szCs w:val="20"/>
                <w:lang w:eastAsia="en-US"/>
              </w:rPr>
              <w:t>Поставка вилочного дизельного автопогрузчика</w:t>
            </w:r>
            <w:r w:rsidR="00CF7866" w:rsidRPr="00222CBF">
              <w:rPr>
                <w:rFonts w:ascii="Times New Roman" w:eastAsia="Calibri" w:hAnsi="Times New Roman" w:cs="Times New Roman"/>
                <w:sz w:val="20"/>
                <w:szCs w:val="20"/>
                <w:lang w:eastAsia="en-US"/>
              </w:rPr>
              <w:t>»</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804D0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804D0E">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w:t>
            </w:r>
            <w:r w:rsidR="00FF624C" w:rsidRPr="00222CBF">
              <w:rPr>
                <w:rFonts w:ascii="Times New Roman" w:hAnsi="Times New Roman" w:cs="Times New Roman"/>
                <w:sz w:val="20"/>
                <w:szCs w:val="20"/>
              </w:rPr>
              <w:lastRenderedPageBreak/>
              <w:t>Брод, ул. Форелевая, 45-А, кабинет №16.</w:t>
            </w:r>
          </w:p>
          <w:p w:rsidR="009A0D88" w:rsidRPr="00222CBF" w:rsidRDefault="009A0D88" w:rsidP="00804D0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CF7866">
              <w:rPr>
                <w:rFonts w:ascii="Times New Roman" w:hAnsi="Times New Roman" w:cs="Times New Roman"/>
                <w:color w:val="365F91" w:themeColor="accent1" w:themeShade="BF"/>
                <w:sz w:val="20"/>
                <w:szCs w:val="20"/>
              </w:rPr>
              <w:t>1</w:t>
            </w:r>
            <w:r w:rsidR="00804D0E">
              <w:rPr>
                <w:rFonts w:ascii="Times New Roman" w:hAnsi="Times New Roman" w:cs="Times New Roman"/>
                <w:color w:val="365F91" w:themeColor="accent1" w:themeShade="BF"/>
                <w:sz w:val="20"/>
                <w:szCs w:val="20"/>
              </w:rPr>
              <w:t>5</w:t>
            </w:r>
            <w:r w:rsidRPr="00222CBF">
              <w:rPr>
                <w:rFonts w:ascii="Times New Roman" w:hAnsi="Times New Roman" w:cs="Times New Roman"/>
                <w:sz w:val="20"/>
                <w:szCs w:val="20"/>
              </w:rPr>
              <w:t xml:space="preserve">» </w:t>
            </w:r>
            <w:r w:rsidR="00CF7866">
              <w:rPr>
                <w:rFonts w:ascii="Times New Roman" w:hAnsi="Times New Roman" w:cs="Times New Roman"/>
                <w:sz w:val="20"/>
                <w:szCs w:val="20"/>
              </w:rPr>
              <w:t>декабря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CF7866">
              <w:rPr>
                <w:rFonts w:ascii="Times New Roman" w:eastAsia="Times New Roman" w:hAnsi="Times New Roman" w:cs="Times New Roman"/>
                <w:color w:val="365F91" w:themeColor="accent1" w:themeShade="BF"/>
                <w:sz w:val="20"/>
                <w:szCs w:val="20"/>
              </w:rPr>
              <w:t>1</w:t>
            </w:r>
            <w:r w:rsidR="00804D0E">
              <w:rPr>
                <w:rFonts w:ascii="Times New Roman" w:eastAsia="Times New Roman" w:hAnsi="Times New Roman" w:cs="Times New Roman"/>
                <w:color w:val="365F91" w:themeColor="accent1" w:themeShade="BF"/>
                <w:sz w:val="20"/>
                <w:szCs w:val="20"/>
              </w:rPr>
              <w:t>5</w:t>
            </w:r>
            <w:r w:rsidRPr="00222CBF">
              <w:rPr>
                <w:rFonts w:ascii="Times New Roman" w:eastAsia="Times New Roman" w:hAnsi="Times New Roman" w:cs="Times New Roman"/>
                <w:sz w:val="20"/>
                <w:szCs w:val="20"/>
              </w:rPr>
              <w:t xml:space="preserve">» </w:t>
            </w:r>
            <w:r w:rsidR="00CF7866">
              <w:rPr>
                <w:rFonts w:ascii="Times New Roman" w:eastAsia="Times New Roman" w:hAnsi="Times New Roman" w:cs="Times New Roman"/>
                <w:sz w:val="20"/>
                <w:szCs w:val="20"/>
              </w:rPr>
              <w:t>декабря</w:t>
            </w:r>
            <w:r w:rsidRPr="00222CBF">
              <w:rPr>
                <w:rFonts w:ascii="Times New Roman" w:eastAsia="Times New Roman" w:hAnsi="Times New Roman" w:cs="Times New Roman"/>
                <w:sz w:val="20"/>
                <w:szCs w:val="20"/>
              </w:rPr>
              <w:t xml:space="preserve"> 202</w:t>
            </w:r>
            <w:r w:rsidR="00222CBF" w:rsidRPr="00222CBF">
              <w:rPr>
                <w:rFonts w:ascii="Times New Roman" w:eastAsia="Times New Roman" w:hAnsi="Times New Roman" w:cs="Times New Roman"/>
                <w:sz w:val="20"/>
                <w:szCs w:val="20"/>
              </w:rPr>
              <w:t>2</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w:t>
            </w:r>
            <w:bookmarkStart w:id="0" w:name="_GoBack"/>
            <w:bookmarkEnd w:id="0"/>
            <w:r w:rsidRPr="00222CBF">
              <w:rPr>
                <w:rFonts w:ascii="Times New Roman" w:hAnsi="Times New Roman" w:cs="Times New Roman"/>
                <w:sz w:val="20"/>
                <w:szCs w:val="20"/>
              </w:rPr>
              <w:t>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w:t>
            </w:r>
            <w:r w:rsidRPr="00222CBF">
              <w:rPr>
                <w:rFonts w:ascii="Times New Roman" w:eastAsia="Times New Roman" w:hAnsi="Times New Roman" w:cs="Times New Roman"/>
                <w:sz w:val="20"/>
                <w:szCs w:val="20"/>
              </w:rPr>
              <w:lastRenderedPageBreak/>
              <w:t>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9"/>
      <w:footerReference w:type="first" r:id="rId10"/>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FD9" w:rsidRPr="00705092" w:rsidRDefault="008D3FD9" w:rsidP="0097081F">
      <w:pPr>
        <w:spacing w:after="0" w:line="240" w:lineRule="auto"/>
        <w:rPr>
          <w:sz w:val="20"/>
          <w:szCs w:val="20"/>
        </w:rPr>
      </w:pPr>
      <w:r w:rsidRPr="00705092">
        <w:rPr>
          <w:sz w:val="20"/>
          <w:szCs w:val="20"/>
        </w:rPr>
        <w:separator/>
      </w:r>
    </w:p>
  </w:endnote>
  <w:endnote w:type="continuationSeparator" w:id="0">
    <w:p w:rsidR="008D3FD9" w:rsidRPr="00705092" w:rsidRDefault="008D3FD9"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804D0E">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FD9" w:rsidRPr="00705092" w:rsidRDefault="008D3FD9" w:rsidP="0097081F">
      <w:pPr>
        <w:spacing w:after="0" w:line="240" w:lineRule="auto"/>
        <w:rPr>
          <w:sz w:val="20"/>
          <w:szCs w:val="20"/>
        </w:rPr>
      </w:pPr>
      <w:r w:rsidRPr="00705092">
        <w:rPr>
          <w:sz w:val="20"/>
          <w:szCs w:val="20"/>
        </w:rPr>
        <w:separator/>
      </w:r>
    </w:p>
  </w:footnote>
  <w:footnote w:type="continuationSeparator" w:id="0">
    <w:p w:rsidR="008D3FD9" w:rsidRPr="00705092" w:rsidRDefault="008D3FD9"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804D0E">
          <w:rPr>
            <w:rFonts w:ascii="Times New Roman" w:hAnsi="Times New Roman" w:cs="Times New Roman"/>
            <w:noProof/>
          </w:rPr>
          <w:t>3</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57538"/>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4D0E"/>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4D39"/>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CF7866"/>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C81D1-6649-4CCF-AB72-AC461D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040">
      <w:bodyDiv w:val="1"/>
      <w:marLeft w:val="0"/>
      <w:marRight w:val="0"/>
      <w:marTop w:val="0"/>
      <w:marBottom w:val="0"/>
      <w:divBdr>
        <w:top w:val="none" w:sz="0" w:space="0" w:color="auto"/>
        <w:left w:val="none" w:sz="0" w:space="0" w:color="auto"/>
        <w:bottom w:val="none" w:sz="0" w:space="0" w:color="auto"/>
        <w:right w:val="none" w:sz="0" w:space="0" w:color="auto"/>
      </w:divBdr>
    </w:div>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F04CB-915C-4F29-86CD-8F2C2164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2376</Words>
  <Characters>13544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Admin</cp:lastModifiedBy>
  <cp:revision>29</cp:revision>
  <cp:lastPrinted>2022-09-27T05:51:00Z</cp:lastPrinted>
  <dcterms:created xsi:type="dcterms:W3CDTF">2021-06-02T12:14:00Z</dcterms:created>
  <dcterms:modified xsi:type="dcterms:W3CDTF">2022-12-08T11:31:00Z</dcterms:modified>
</cp:coreProperties>
</file>