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xml:space="preserve">№ </w:t>
            </w:r>
            <w:proofErr w:type="gramStart"/>
            <w:r w:rsidRPr="00705092">
              <w:rPr>
                <w:rFonts w:ascii="Times New Roman" w:hAnsi="Times New Roman" w:cs="Times New Roman"/>
                <w:b/>
              </w:rPr>
              <w:t>п</w:t>
            </w:r>
            <w:proofErr w:type="gramEnd"/>
            <w:r w:rsidRPr="00705092">
              <w:rPr>
                <w:rFonts w:ascii="Times New Roman" w:hAnsi="Times New Roman" w:cs="Times New Roman"/>
                <w:b/>
              </w:rPr>
              <w:t>/п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w:t>
            </w:r>
            <w:proofErr w:type="gramStart"/>
            <w:r w:rsidRPr="00705092">
              <w:rPr>
                <w:rFonts w:ascii="Times New Roman" w:hAnsi="Times New Roman" w:cs="Times New Roman"/>
              </w:rPr>
              <w:t>Форелевая</w:t>
            </w:r>
            <w:proofErr w:type="gramEnd"/>
            <w:r w:rsidRPr="00705092">
              <w:rPr>
                <w:rFonts w:ascii="Times New Roman" w:hAnsi="Times New Roman" w:cs="Times New Roman"/>
              </w:rPr>
              <w:t xml:space="preserve">,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roofErr w:type="gramEnd"/>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Часы работы: </w:t>
            </w:r>
            <w:r w:rsidR="00520AC8">
              <w:rPr>
                <w:rFonts w:ascii="Times New Roman" w:hAnsi="Times New Roman" w:cs="Times New Roman"/>
              </w:rPr>
              <w:t>7</w:t>
            </w:r>
            <w:r w:rsidRPr="00705092">
              <w:rPr>
                <w:rFonts w:ascii="Times New Roman" w:hAnsi="Times New Roman" w:cs="Times New Roman"/>
              </w:rPr>
              <w:t>:00 до 1</w:t>
            </w:r>
            <w:r w:rsidR="00520AC8">
              <w:rPr>
                <w:rFonts w:ascii="Times New Roman" w:hAnsi="Times New Roman" w:cs="Times New Roman"/>
              </w:rPr>
              <w:t>6</w:t>
            </w:r>
            <w:r w:rsidRPr="00705092">
              <w:rPr>
                <w:rFonts w:ascii="Times New Roman" w:hAnsi="Times New Roman" w:cs="Times New Roman"/>
              </w:rPr>
              <w:t>:00 часов,</w:t>
            </w:r>
            <w:r w:rsidR="00520AC8">
              <w:rPr>
                <w:rFonts w:ascii="Times New Roman" w:hAnsi="Times New Roman" w:cs="Times New Roman"/>
              </w:rPr>
              <w:t xml:space="preserve"> перерыв с 12:00 до 13:00 часов</w:t>
            </w:r>
            <w:r w:rsidRPr="00705092">
              <w:rPr>
                <w:rFonts w:ascii="Times New Roman" w:hAnsi="Times New Roman" w:cs="Times New Roman"/>
              </w:rPr>
              <w:t>.</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613EB0">
              <w:rPr>
                <w:rFonts w:ascii="Times New Roman" w:hAnsi="Times New Roman" w:cs="Times New Roman"/>
                <w:b/>
              </w:rPr>
              <w:t>04-22</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003955">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F63DFC" w:rsidRPr="00F63DFC">
              <w:rPr>
                <w:rFonts w:ascii="Times New Roman" w:eastAsia="Calibri" w:hAnsi="Times New Roman" w:cs="Times New Roman"/>
                <w:lang w:eastAsia="en-US"/>
              </w:rPr>
              <w:t>Поставка пакетов упаковочных полиэтиленовых</w:t>
            </w:r>
            <w:r w:rsidRPr="00705092">
              <w:rPr>
                <w:rFonts w:ascii="Times New Roman" w:eastAsia="Calibri" w:hAnsi="Times New Roman" w:cs="Times New Roman"/>
                <w:lang w:eastAsia="en-US"/>
              </w:rPr>
              <w:t>»</w:t>
            </w:r>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proofErr w:type="gramStart"/>
            <w:r w:rsidRPr="00705092">
              <w:rPr>
                <w:rFonts w:ascii="Times New Roman" w:eastAsia="Times New Roman" w:hAnsi="Times New Roman" w:cs="Times New Roman"/>
              </w:rPr>
              <w:t>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w:t>
            </w:r>
            <w:proofErr w:type="gramEnd"/>
            <w:r w:rsidRPr="00705092">
              <w:rPr>
                <w:rFonts w:ascii="Times New Roman" w:eastAsia="Times New Roman" w:hAnsi="Times New Roman" w:cs="Times New Roman"/>
              </w:rPr>
              <w:t xml:space="preserve"> о взыскании задолженности </w:t>
            </w:r>
            <w:r w:rsidRPr="00705092">
              <w:rPr>
                <w:rFonts w:ascii="Times New Roman" w:eastAsia="Times New Roman" w:hAnsi="Times New Roman" w:cs="Times New Roman"/>
                <w:i/>
              </w:rPr>
              <w:t xml:space="preserve">(Подтверждается </w:t>
            </w:r>
            <w:proofErr w:type="gramStart"/>
            <w:r w:rsidRPr="00705092">
              <w:rPr>
                <w:rFonts w:ascii="Times New Roman" w:eastAsia="Times New Roman" w:hAnsi="Times New Roman" w:cs="Times New Roman"/>
                <w:i/>
              </w:rPr>
              <w:t>декларированием</w:t>
            </w:r>
            <w:proofErr w:type="gramEnd"/>
            <w:r w:rsidRPr="00705092">
              <w:rPr>
                <w:rFonts w:ascii="Times New Roman" w:eastAsia="Times New Roman" w:hAnsi="Times New Roman" w:cs="Times New Roman"/>
                <w:i/>
              </w:rPr>
              <w:t xml:space="preserve">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proofErr w:type="gramStart"/>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lastRenderedPageBreak/>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w:t>
            </w:r>
            <w:proofErr w:type="gramEnd"/>
            <w:r w:rsidRPr="00705092">
              <w:rPr>
                <w:rFonts w:ascii="Times New Roman" w:eastAsia="Times New Roman" w:hAnsi="Times New Roman" w:cs="Times New Roman"/>
                <w:i/>
              </w:rPr>
              <w:t xml:space="preserve">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 xml:space="preserve">(Подтверждается </w:t>
            </w:r>
            <w:proofErr w:type="gramStart"/>
            <w:r w:rsidRPr="00705092">
              <w:rPr>
                <w:i/>
                <w:sz w:val="22"/>
                <w:szCs w:val="22"/>
              </w:rPr>
              <w:t>декларированием</w:t>
            </w:r>
            <w:proofErr w:type="gramEnd"/>
            <w:r w:rsidRPr="00705092">
              <w:rPr>
                <w:i/>
                <w:sz w:val="22"/>
                <w:szCs w:val="22"/>
              </w:rPr>
              <w:t xml:space="preserve"> о соответствии установленным требованиям в заявке на участие в тендере (по форме 1 части 3 тендерной </w:t>
            </w:r>
            <w:proofErr w:type="gramStart"/>
            <w:r w:rsidRPr="00705092">
              <w:rPr>
                <w:i/>
                <w:sz w:val="22"/>
                <w:szCs w:val="22"/>
              </w:rPr>
              <w:t>документации)).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w:t>
            </w:r>
            <w:proofErr w:type="spellStart"/>
            <w:r w:rsidR="00D2702E" w:rsidRPr="00705092">
              <w:rPr>
                <w:sz w:val="22"/>
                <w:szCs w:val="22"/>
              </w:rPr>
              <w:t>претензионно</w:t>
            </w:r>
            <w:proofErr w:type="spellEnd"/>
            <w:r w:rsidR="00D2702E" w:rsidRPr="00705092">
              <w:rPr>
                <w:sz w:val="22"/>
                <w:szCs w:val="22"/>
              </w:rPr>
              <w:t xml:space="preserve"> - исковой работы, связанной с неисполнением Участником закупки договорных обязательств перед Заказчиком </w:t>
            </w:r>
            <w:r w:rsidR="00D2702E" w:rsidRPr="00705092">
              <w:rPr>
                <w:i/>
                <w:sz w:val="22"/>
                <w:szCs w:val="22"/>
              </w:rPr>
              <w:t xml:space="preserve">(Подтверждается </w:t>
            </w:r>
            <w:proofErr w:type="gramStart"/>
            <w:r w:rsidR="00D2702E" w:rsidRPr="00705092">
              <w:rPr>
                <w:i/>
                <w:sz w:val="22"/>
                <w:szCs w:val="22"/>
              </w:rPr>
              <w:t>декларированием</w:t>
            </w:r>
            <w:proofErr w:type="gramEnd"/>
            <w:r w:rsidR="00D2702E" w:rsidRPr="00705092">
              <w:rPr>
                <w:i/>
                <w:sz w:val="22"/>
                <w:szCs w:val="22"/>
              </w:rPr>
              <w:t xml:space="preserve">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w:t>
            </w:r>
            <w:proofErr w:type="gramStart"/>
            <w:r w:rsidRPr="00705092">
              <w:rPr>
                <w:rFonts w:ascii="Times New Roman" w:hAnsi="Times New Roman"/>
                <w:sz w:val="22"/>
                <w:szCs w:val="22"/>
              </w:rPr>
              <w:t>установлены</w:t>
            </w:r>
            <w:proofErr w:type="gramEnd"/>
            <w:r w:rsidRPr="00705092">
              <w:rPr>
                <w:rFonts w:ascii="Times New Roman" w:hAnsi="Times New Roman"/>
                <w:sz w:val="22"/>
                <w:szCs w:val="22"/>
              </w:rPr>
              <w:t xml:space="preserve">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proofErr w:type="gramStart"/>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roofErr w:type="gramEnd"/>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количестве поставляемого товара, объеме выполняемых работ, 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t>В соответствии с частью 5 документации о проведении 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314F38" w:rsidRDefault="0034013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eastAsia="Times New Roman" w:hAnsi="Times New Roman" w:cs="Times New Roman"/>
                <w:lang w:eastAsia="en-US"/>
              </w:rPr>
              <w:t xml:space="preserve">Сведения о начальной (максимальной) </w:t>
            </w:r>
            <w:r w:rsidRPr="00314F38">
              <w:rPr>
                <w:rFonts w:ascii="Times New Roman" w:eastAsia="Times New Roman" w:hAnsi="Times New Roman" w:cs="Times New Roman"/>
                <w:lang w:eastAsia="en-US"/>
              </w:rPr>
              <w:lastRenderedPageBreak/>
              <w:t>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314F38" w:rsidRDefault="00B17217" w:rsidP="0036053E">
            <w:pPr>
              <w:spacing w:after="0" w:line="240" w:lineRule="auto"/>
              <w:jc w:val="both"/>
              <w:rPr>
                <w:rFonts w:ascii="Times New Roman" w:hAnsi="Times New Roman" w:cs="Times New Roman"/>
              </w:rPr>
            </w:pPr>
            <w:r w:rsidRPr="00314F38">
              <w:rPr>
                <w:rFonts w:ascii="Times New Roman" w:hAnsi="Times New Roman" w:cs="Times New Roman"/>
                <w:b/>
              </w:rPr>
              <w:lastRenderedPageBreak/>
              <w:t xml:space="preserve">- </w:t>
            </w:r>
            <w:r w:rsidR="00520AC8">
              <w:rPr>
                <w:rFonts w:ascii="Times New Roman" w:hAnsi="Times New Roman" w:cs="Times New Roman"/>
                <w:b/>
              </w:rPr>
              <w:t>751 300,00</w:t>
            </w:r>
            <w:r w:rsidR="00003955" w:rsidRPr="00314F38">
              <w:rPr>
                <w:rFonts w:ascii="Times New Roman" w:hAnsi="Times New Roman" w:cs="Times New Roman"/>
                <w:b/>
              </w:rPr>
              <w:t xml:space="preserve"> </w:t>
            </w:r>
            <w:r w:rsidR="0008260B" w:rsidRPr="00314F38">
              <w:rPr>
                <w:rFonts w:ascii="Times New Roman" w:hAnsi="Times New Roman" w:cs="Times New Roman"/>
                <w:b/>
              </w:rPr>
              <w:t xml:space="preserve">руб. </w:t>
            </w:r>
            <w:r w:rsidR="0008260B" w:rsidRPr="00314F38">
              <w:rPr>
                <w:rFonts w:ascii="Times New Roman" w:hAnsi="Times New Roman" w:cs="Times New Roman"/>
              </w:rPr>
              <w:t>(</w:t>
            </w:r>
            <w:r w:rsidR="00520AC8">
              <w:rPr>
                <w:rFonts w:ascii="Times New Roman" w:hAnsi="Times New Roman" w:cs="Times New Roman"/>
              </w:rPr>
              <w:t>семьсот  пятьдесят одна тысяча триста</w:t>
            </w:r>
            <w:r w:rsidR="0008260B" w:rsidRPr="00314F38">
              <w:rPr>
                <w:rFonts w:ascii="Times New Roman" w:hAnsi="Times New Roman" w:cs="Times New Roman"/>
              </w:rPr>
              <w:t xml:space="preserve"> </w:t>
            </w:r>
            <w:r w:rsidR="0008260B" w:rsidRPr="00314F38">
              <w:rPr>
                <w:rFonts w:ascii="Times New Roman" w:hAnsi="Times New Roman" w:cs="Times New Roman"/>
              </w:rPr>
              <w:lastRenderedPageBreak/>
              <w:t>рубл</w:t>
            </w:r>
            <w:r w:rsidR="00903610" w:rsidRPr="00314F38">
              <w:rPr>
                <w:rFonts w:ascii="Times New Roman" w:hAnsi="Times New Roman" w:cs="Times New Roman"/>
              </w:rPr>
              <w:t>ей</w:t>
            </w:r>
            <w:r w:rsidR="0008260B" w:rsidRPr="00314F38">
              <w:rPr>
                <w:rFonts w:ascii="Times New Roman" w:hAnsi="Times New Roman" w:cs="Times New Roman"/>
              </w:rPr>
              <w:t xml:space="preserve"> </w:t>
            </w:r>
            <w:r w:rsidR="00903610" w:rsidRPr="00314F38">
              <w:rPr>
                <w:rFonts w:ascii="Times New Roman" w:hAnsi="Times New Roman" w:cs="Times New Roman"/>
              </w:rPr>
              <w:t>0</w:t>
            </w:r>
            <w:r w:rsidR="00294C5A" w:rsidRPr="00314F38">
              <w:rPr>
                <w:rFonts w:ascii="Times New Roman" w:hAnsi="Times New Roman" w:cs="Times New Roman"/>
              </w:rPr>
              <w:t>0</w:t>
            </w:r>
            <w:r w:rsidR="0008260B" w:rsidRPr="00314F38">
              <w:rPr>
                <w:rFonts w:ascii="Times New Roman" w:hAnsi="Times New Roman" w:cs="Times New Roman"/>
              </w:rPr>
              <w:t xml:space="preserve"> копе</w:t>
            </w:r>
            <w:r w:rsidR="00877A9C" w:rsidRPr="00314F38">
              <w:rPr>
                <w:rFonts w:ascii="Times New Roman" w:hAnsi="Times New Roman" w:cs="Times New Roman"/>
              </w:rPr>
              <w:t>ек</w:t>
            </w:r>
            <w:r w:rsidR="00903610" w:rsidRPr="00314F38">
              <w:rPr>
                <w:rFonts w:ascii="Times New Roman" w:hAnsi="Times New Roman" w:cs="Times New Roman"/>
              </w:rPr>
              <w:t>)</w:t>
            </w:r>
            <w:r w:rsidR="0008260B" w:rsidRPr="00314F38">
              <w:rPr>
                <w:rFonts w:ascii="Times New Roman" w:hAnsi="Times New Roman" w:cs="Times New Roman"/>
              </w:rPr>
              <w:t>, включая НДС (20%)</w:t>
            </w:r>
            <w:r w:rsidRPr="00314F38">
              <w:rPr>
                <w:rFonts w:ascii="Times New Roman" w:hAnsi="Times New Roman" w:cs="Times New Roman"/>
              </w:rPr>
              <w:t>;</w:t>
            </w:r>
          </w:p>
          <w:p w:rsidR="00340138" w:rsidRPr="00314F38" w:rsidRDefault="00520AC8" w:rsidP="00E05C2C">
            <w:pPr>
              <w:spacing w:after="0" w:line="240" w:lineRule="auto"/>
              <w:jc w:val="both"/>
              <w:rPr>
                <w:rFonts w:ascii="Times New Roman" w:hAnsi="Times New Roman" w:cs="Times New Roman"/>
              </w:rPr>
            </w:pPr>
            <w:r>
              <w:rPr>
                <w:rFonts w:ascii="Times New Roman" w:hAnsi="Times New Roman" w:cs="Times New Roman"/>
                <w:b/>
              </w:rPr>
              <w:t xml:space="preserve">- 626 083,33 </w:t>
            </w:r>
            <w:r w:rsidR="00003955" w:rsidRPr="00314F38">
              <w:rPr>
                <w:rFonts w:ascii="Times New Roman" w:hAnsi="Times New Roman" w:cs="Times New Roman"/>
                <w:b/>
              </w:rPr>
              <w:t>руб.</w:t>
            </w:r>
            <w:r w:rsidR="0008260B" w:rsidRPr="00314F38">
              <w:rPr>
                <w:rFonts w:ascii="Times New Roman" w:hAnsi="Times New Roman" w:cs="Times New Roman"/>
                <w:b/>
              </w:rPr>
              <w:t xml:space="preserve"> </w:t>
            </w:r>
            <w:r w:rsidR="0008260B" w:rsidRPr="00314F38">
              <w:rPr>
                <w:rFonts w:ascii="Times New Roman" w:hAnsi="Times New Roman" w:cs="Times New Roman"/>
              </w:rPr>
              <w:t>(</w:t>
            </w:r>
            <w:r>
              <w:rPr>
                <w:rFonts w:ascii="Times New Roman" w:hAnsi="Times New Roman" w:cs="Times New Roman"/>
              </w:rPr>
              <w:t>шестьсот двадцать шесть тысяч восемьдесят три</w:t>
            </w:r>
            <w:r w:rsidR="007B3B8E">
              <w:rPr>
                <w:rFonts w:ascii="Times New Roman" w:hAnsi="Times New Roman" w:cs="Times New Roman"/>
              </w:rPr>
              <w:t xml:space="preserve"> </w:t>
            </w:r>
            <w:r w:rsidR="0008260B" w:rsidRPr="00314F38">
              <w:rPr>
                <w:rFonts w:ascii="Times New Roman" w:hAnsi="Times New Roman" w:cs="Times New Roman"/>
              </w:rPr>
              <w:t>рубл</w:t>
            </w:r>
            <w:r>
              <w:rPr>
                <w:rFonts w:ascii="Times New Roman" w:hAnsi="Times New Roman" w:cs="Times New Roman"/>
              </w:rPr>
              <w:t>я</w:t>
            </w:r>
            <w:r w:rsidR="009C7176" w:rsidRPr="00314F38">
              <w:rPr>
                <w:rFonts w:ascii="Times New Roman" w:hAnsi="Times New Roman" w:cs="Times New Roman"/>
              </w:rPr>
              <w:t xml:space="preserve"> </w:t>
            </w:r>
            <w:r w:rsidR="00E05C2C">
              <w:rPr>
                <w:rFonts w:ascii="Times New Roman" w:hAnsi="Times New Roman" w:cs="Times New Roman"/>
              </w:rPr>
              <w:t>33</w:t>
            </w:r>
            <w:r w:rsidR="0008260B" w:rsidRPr="00314F38">
              <w:rPr>
                <w:rFonts w:ascii="Times New Roman" w:hAnsi="Times New Roman" w:cs="Times New Roman"/>
              </w:rPr>
              <w:t xml:space="preserve"> копе</w:t>
            </w:r>
            <w:r w:rsidR="00E05C2C">
              <w:rPr>
                <w:rFonts w:ascii="Times New Roman" w:hAnsi="Times New Roman" w:cs="Times New Roman"/>
              </w:rPr>
              <w:t>йки</w:t>
            </w:r>
            <w:r w:rsidR="00903610" w:rsidRPr="00314F38">
              <w:rPr>
                <w:rFonts w:ascii="Times New Roman" w:hAnsi="Times New Roman" w:cs="Times New Roman"/>
              </w:rPr>
              <w:t>)</w:t>
            </w:r>
            <w:r w:rsidR="00EB5BC2" w:rsidRPr="00314F38">
              <w:rPr>
                <w:rFonts w:ascii="Times New Roman" w:hAnsi="Times New Roman" w:cs="Times New Roman"/>
              </w:rPr>
              <w:t xml:space="preserve">, </w:t>
            </w:r>
            <w:r w:rsidR="002B5452" w:rsidRPr="00314F38">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314F38" w:rsidRDefault="009A0D88" w:rsidP="003F3806">
            <w:pPr>
              <w:widowControl w:val="0"/>
              <w:shd w:val="clear" w:color="auto" w:fill="FFFFFF" w:themeFill="background1"/>
              <w:spacing w:after="0" w:line="240" w:lineRule="auto"/>
              <w:jc w:val="both"/>
              <w:rPr>
                <w:rFonts w:ascii="Times New Roman" w:hAnsi="Times New Roman" w:cs="Times New Roman"/>
              </w:rPr>
            </w:pPr>
            <w:r w:rsidRPr="00314F38">
              <w:rPr>
                <w:rFonts w:ascii="Times New Roman" w:hAnsi="Times New Roman" w:cs="Times New Roman"/>
              </w:rPr>
              <w:t>Форма оплаты – безналичный</w:t>
            </w:r>
            <w:r w:rsidR="0036053E" w:rsidRPr="00314F38">
              <w:rPr>
                <w:rFonts w:ascii="Times New Roman" w:hAnsi="Times New Roman" w:cs="Times New Roman"/>
              </w:rPr>
              <w:t xml:space="preserve"> расчет. Сроки и порядок оплаты</w:t>
            </w:r>
            <w:r w:rsidRPr="00314F38">
              <w:rPr>
                <w:rFonts w:ascii="Times New Roman" w:hAnsi="Times New Roman" w:cs="Times New Roman"/>
              </w:rPr>
              <w:t xml:space="preserve"> - в соответствии с услов</w:t>
            </w:r>
            <w:r w:rsidR="0036053E" w:rsidRPr="00314F38">
              <w:rPr>
                <w:rFonts w:ascii="Times New Roman" w:hAnsi="Times New Roman" w:cs="Times New Roman"/>
              </w:rPr>
              <w:t xml:space="preserve">иями проекта договора (часть 4 </w:t>
            </w:r>
            <w:r w:rsidRPr="00314F38">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w:t>
            </w:r>
            <w:bookmarkStart w:id="0" w:name="_GoBack"/>
            <w:bookmarkEnd w:id="0"/>
            <w:r w:rsidRPr="00705092">
              <w:rPr>
                <w:rFonts w:ascii="Times New Roman" w:eastAsia="Times New Roman" w:hAnsi="Times New Roman" w:cs="Times New Roman"/>
              </w:rPr>
              <w:t xml:space="preserve">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proofErr w:type="gramStart"/>
            <w:r w:rsidRPr="00705092">
              <w:rPr>
                <w:sz w:val="22"/>
                <w:szCs w:val="22"/>
              </w:rPr>
              <w:t>Установлен</w:t>
            </w:r>
            <w:proofErr w:type="gramEnd"/>
            <w:r w:rsidRPr="00705092">
              <w:rPr>
                <w:sz w:val="22"/>
                <w:szCs w:val="22"/>
              </w:rPr>
              <w:t xml:space="preserve">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proofErr w:type="gramStart"/>
            <w:r w:rsidRPr="00705092">
              <w:rPr>
                <w:rFonts w:eastAsiaTheme="minorEastAsia"/>
                <w:sz w:val="22"/>
                <w:szCs w:val="22"/>
              </w:rPr>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описание оказываемых услуг, 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roofErr w:type="gramEnd"/>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 xml:space="preserve">заявки на участие в </w:t>
            </w:r>
            <w:r w:rsidRPr="00705092">
              <w:rPr>
                <w:rFonts w:ascii="Times New Roman" w:hAnsi="Times New Roman" w:cs="Times New Roman"/>
              </w:rPr>
              <w:lastRenderedPageBreak/>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Заявка на участие в запросе котировок должна быть </w:t>
            </w:r>
            <w:r w:rsidRPr="00705092">
              <w:rPr>
                <w:rFonts w:ascii="Times New Roman" w:hAnsi="Times New Roman" w:cs="Times New Roman"/>
              </w:rPr>
              <w:lastRenderedPageBreak/>
              <w:t>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9"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003955" w:rsidRDefault="00BE641E" w:rsidP="00BE641E">
            <w:pPr>
              <w:widowControl w:val="0"/>
              <w:spacing w:after="0" w:line="240" w:lineRule="auto"/>
              <w:jc w:val="both"/>
              <w:rPr>
                <w:rFonts w:ascii="Times New Roman" w:eastAsia="Times New Roman" w:hAnsi="Times New Roman" w:cs="Times New Roman"/>
                <w:color w:val="FF0000"/>
              </w:rPr>
            </w:pPr>
            <w:r w:rsidRPr="00003955">
              <w:rPr>
                <w:rFonts w:ascii="Times New Roman" w:eastAsia="Times New Roman" w:hAnsi="Times New Roman" w:cs="Times New Roman"/>
                <w:color w:val="FF0000"/>
              </w:rPr>
              <w:t xml:space="preserve">Например: «ЗАЯВКА НА УЧАСТИЕ, №ЛОТ </w:t>
            </w:r>
            <w:r w:rsidR="00520AC8">
              <w:rPr>
                <w:rFonts w:ascii="Times New Roman" w:eastAsia="Times New Roman" w:hAnsi="Times New Roman" w:cs="Times New Roman"/>
                <w:color w:val="FF0000"/>
              </w:rPr>
              <w:t>04-22</w:t>
            </w:r>
            <w:r w:rsidRPr="00003955">
              <w:rPr>
                <w:rFonts w:ascii="Times New Roman" w:eastAsia="Times New Roman" w:hAnsi="Times New Roman" w:cs="Times New Roman"/>
                <w:color w:val="FF0000"/>
              </w:rPr>
              <w:t>-ЗК Запрос котировок, «</w:t>
            </w:r>
            <w:r w:rsidR="00F63DFC" w:rsidRPr="00F63DFC">
              <w:rPr>
                <w:rFonts w:ascii="Times New Roman" w:eastAsia="Times New Roman" w:hAnsi="Times New Roman" w:cs="Times New Roman"/>
                <w:color w:val="FF0000"/>
              </w:rPr>
              <w:t>Поставка пакетов упаковочных полиэтиленовых</w:t>
            </w:r>
            <w:r w:rsidRPr="00003955">
              <w:rPr>
                <w:rFonts w:ascii="Times New Roman" w:eastAsia="Times New Roman" w:hAnsi="Times New Roman" w:cs="Times New Roman"/>
                <w:color w:val="FF0000"/>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520AC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520AC8">
              <w:rPr>
                <w:rFonts w:ascii="Times New Roman" w:hAnsi="Times New Roman" w:cs="Times New Roman"/>
                <w:b/>
              </w:rPr>
              <w:t>25</w:t>
            </w:r>
            <w:r w:rsidRPr="00705092">
              <w:rPr>
                <w:rFonts w:ascii="Times New Roman" w:hAnsi="Times New Roman" w:cs="Times New Roman"/>
                <w:b/>
              </w:rPr>
              <w:t xml:space="preserve">» </w:t>
            </w:r>
            <w:r w:rsidR="00520AC8">
              <w:rPr>
                <w:rFonts w:ascii="Times New Roman" w:hAnsi="Times New Roman" w:cs="Times New Roman"/>
                <w:b/>
              </w:rPr>
              <w:t>июля</w:t>
            </w:r>
            <w:r w:rsidR="002E0C45" w:rsidRPr="00705092">
              <w:rPr>
                <w:rFonts w:ascii="Times New Roman" w:hAnsi="Times New Roman" w:cs="Times New Roman"/>
                <w:b/>
              </w:rPr>
              <w:t xml:space="preserve"> 202</w:t>
            </w:r>
            <w:r w:rsidR="00520AC8">
              <w:rPr>
                <w:rFonts w:ascii="Times New Roman" w:hAnsi="Times New Roman" w:cs="Times New Roman"/>
                <w:b/>
              </w:rPr>
              <w:t>2</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w:t>
            </w:r>
            <w:r w:rsidR="00520AC8">
              <w:rPr>
                <w:rFonts w:ascii="Times New Roman" w:hAnsi="Times New Roman" w:cs="Times New Roman"/>
                <w:b/>
              </w:rPr>
              <w:t>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 xml:space="preserve">354393, Краснодарский край, г. Сочи, с. Казачий Брод, ул. </w:t>
            </w:r>
            <w:proofErr w:type="gramStart"/>
            <w:r w:rsidR="00FF624C" w:rsidRPr="00705092">
              <w:rPr>
                <w:rFonts w:ascii="Times New Roman" w:hAnsi="Times New Roman" w:cs="Times New Roman"/>
              </w:rPr>
              <w:t>Форелевая</w:t>
            </w:r>
            <w:proofErr w:type="gramEnd"/>
            <w:r w:rsidR="00FF624C" w:rsidRPr="00705092">
              <w:rPr>
                <w:rFonts w:ascii="Times New Roman" w:hAnsi="Times New Roman" w:cs="Times New Roman"/>
              </w:rPr>
              <w:t>, 45-А, кабинет №16.</w:t>
            </w:r>
          </w:p>
          <w:p w:rsidR="009A0D88" w:rsidRPr="00705092" w:rsidRDefault="00216E0E" w:rsidP="00F63DFC">
            <w:pPr>
              <w:widowControl w:val="0"/>
              <w:shd w:val="clear" w:color="auto" w:fill="FFFFFF" w:themeFill="background1"/>
              <w:spacing w:after="0" w:line="240" w:lineRule="auto"/>
              <w:jc w:val="both"/>
              <w:rPr>
                <w:rFonts w:ascii="Times New Roman" w:hAnsi="Times New Roman" w:cs="Times New Roman"/>
                <w:b/>
              </w:rPr>
            </w:pPr>
            <w:r>
              <w:rPr>
                <w:rFonts w:ascii="Times New Roman" w:hAnsi="Times New Roman" w:cs="Times New Roman"/>
                <w:b/>
              </w:rPr>
              <w:t>«25» июля 2022 г, 10:00 часов</w:t>
            </w:r>
            <w:r w:rsidR="009A0D88" w:rsidRPr="00705092">
              <w:rPr>
                <w:rFonts w:ascii="Times New Roman" w:hAnsi="Times New Roman" w:cs="Times New Roman"/>
                <w:b/>
              </w:rPr>
              <w:t>.</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p w:rsidR="00294C5A" w:rsidRPr="00705092" w:rsidRDefault="00294C5A" w:rsidP="00180CA2">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Pr>
                <w:rFonts w:ascii="Times New Roman" w:eastAsia="Times New Roman" w:hAnsi="Times New Roman" w:cs="Times New Roman"/>
              </w:rPr>
              <w:t>Срок рассмотрения и оценки заявок –</w:t>
            </w:r>
            <w:r w:rsidR="00216E0E" w:rsidRPr="00216E0E">
              <w:rPr>
                <w:rFonts w:ascii="Times New Roman" w:eastAsia="Times New Roman" w:hAnsi="Times New Roman" w:cs="Times New Roman"/>
                <w:b/>
              </w:rPr>
              <w:t>«2</w:t>
            </w:r>
            <w:r w:rsidR="00216E0E">
              <w:rPr>
                <w:rFonts w:ascii="Times New Roman" w:eastAsia="Times New Roman" w:hAnsi="Times New Roman" w:cs="Times New Roman"/>
                <w:b/>
              </w:rPr>
              <w:t>5</w:t>
            </w:r>
            <w:r w:rsidR="00216E0E" w:rsidRPr="00216E0E">
              <w:rPr>
                <w:rFonts w:ascii="Times New Roman" w:eastAsia="Times New Roman" w:hAnsi="Times New Roman" w:cs="Times New Roman"/>
                <w:b/>
              </w:rPr>
              <w:t>» июля 2022 г</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lastRenderedPageBreak/>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proofErr w:type="gramStart"/>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roofErr w:type="gramEnd"/>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В случае</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w:t>
            </w:r>
            <w:proofErr w:type="gramStart"/>
            <w:r w:rsidRPr="00705092">
              <w:rPr>
                <w:rFonts w:ascii="Times New Roman" w:hAnsi="Times New Roman" w:cs="Times New Roman"/>
              </w:rPr>
              <w:t>,</w:t>
            </w:r>
            <w:proofErr w:type="gramEnd"/>
            <w:r w:rsidRPr="00705092">
              <w:rPr>
                <w:rFonts w:ascii="Times New Roman" w:hAnsi="Times New Roman" w:cs="Times New Roman"/>
              </w:rPr>
              <w:t xml:space="preserve">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w:t>
            </w:r>
            <w:proofErr w:type="gramStart"/>
            <w:r w:rsidRPr="00705092">
              <w:rPr>
                <w:rFonts w:ascii="Times New Roman" w:hAnsi="Times New Roman" w:cs="Times New Roman"/>
              </w:rPr>
              <w:t>участие</w:t>
            </w:r>
            <w:proofErr w:type="gramEnd"/>
            <w:r w:rsidRPr="00705092">
              <w:rPr>
                <w:rFonts w:ascii="Times New Roman" w:hAnsi="Times New Roman" w:cs="Times New Roman"/>
              </w:rPr>
              <w:t xml:space="preserve">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lastRenderedPageBreak/>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lastRenderedPageBreak/>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705092">
              <w:rPr>
                <w:rFonts w:ascii="Times New Roman" w:eastAsia="Times New Roman" w:hAnsi="Times New Roman" w:cs="Times New Roman"/>
              </w:rPr>
              <w:t>разместив уведомление</w:t>
            </w:r>
            <w:proofErr w:type="gramEnd"/>
            <w:r w:rsidRPr="00705092">
              <w:rPr>
                <w:rFonts w:ascii="Times New Roman" w:eastAsia="Times New Roman" w:hAnsi="Times New Roman" w:cs="Times New Roman"/>
              </w:rPr>
              <w:t xml:space="preserve">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proofErr w:type="gramStart"/>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10"/>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C19" w:rsidRPr="00705092" w:rsidRDefault="008A4C19" w:rsidP="0097081F">
      <w:pPr>
        <w:spacing w:after="0" w:line="240" w:lineRule="auto"/>
        <w:rPr>
          <w:sz w:val="20"/>
          <w:szCs w:val="20"/>
        </w:rPr>
      </w:pPr>
      <w:r w:rsidRPr="00705092">
        <w:rPr>
          <w:sz w:val="20"/>
          <w:szCs w:val="20"/>
        </w:rPr>
        <w:separator/>
      </w:r>
    </w:p>
  </w:endnote>
  <w:endnote w:type="continuationSeparator" w:id="0">
    <w:p w:rsidR="008A4C19" w:rsidRPr="00705092" w:rsidRDefault="008A4C19"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C19" w:rsidRPr="00705092" w:rsidRDefault="008A4C19" w:rsidP="0097081F">
      <w:pPr>
        <w:spacing w:after="0" w:line="240" w:lineRule="auto"/>
        <w:rPr>
          <w:sz w:val="20"/>
          <w:szCs w:val="20"/>
        </w:rPr>
      </w:pPr>
      <w:r w:rsidRPr="00705092">
        <w:rPr>
          <w:sz w:val="20"/>
          <w:szCs w:val="20"/>
        </w:rPr>
        <w:separator/>
      </w:r>
    </w:p>
  </w:footnote>
  <w:footnote w:type="continuationSeparator" w:id="0">
    <w:p w:rsidR="008A4C19" w:rsidRPr="00705092" w:rsidRDefault="008A4C19"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0CA2"/>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6E0E"/>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0AC8"/>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3EB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D7482"/>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6F70"/>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4C1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2C"/>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0C23"/>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439D"/>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29904080">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0CDEB-0764-455F-B287-1B47F9CC9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2345</Words>
  <Characters>13371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8</cp:revision>
  <cp:lastPrinted>2022-07-18T05:02:00Z</cp:lastPrinted>
  <dcterms:created xsi:type="dcterms:W3CDTF">2022-07-15T06:47:00Z</dcterms:created>
  <dcterms:modified xsi:type="dcterms:W3CDTF">2022-07-18T05:05:00Z</dcterms:modified>
</cp:coreProperties>
</file>